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462EFC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462EFC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72569F">
        <w:rPr>
          <w:rFonts w:ascii="Times New Roman" w:hAnsi="Times New Roman"/>
          <w:color w:val="auto"/>
          <w:sz w:val="32"/>
          <w:szCs w:val="32"/>
        </w:rPr>
        <w:t>1</w:t>
      </w:r>
      <w:r w:rsidR="00E0462C">
        <w:rPr>
          <w:rFonts w:ascii="Times New Roman" w:hAnsi="Times New Roman"/>
          <w:color w:val="auto"/>
          <w:sz w:val="32"/>
          <w:szCs w:val="32"/>
        </w:rPr>
        <w:t>5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7B1BA2">
        <w:rPr>
          <w:rFonts w:ascii="Times New Roman" w:hAnsi="Times New Roman"/>
          <w:color w:val="auto"/>
          <w:sz w:val="32"/>
          <w:szCs w:val="32"/>
        </w:rPr>
        <w:t>Vývojový diagram</w:t>
      </w:r>
    </w:p>
    <w:p w:rsidR="00DA7B31" w:rsidRPr="002A6C9B" w:rsidRDefault="007B1BA2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Vývojový diagram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7B1BA2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Vývojový diagram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7B1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72569F">
              <w:rPr>
                <w:rFonts w:ascii="Times New Roman" w:hAnsi="Times New Roman"/>
                <w:sz w:val="24"/>
                <w:szCs w:val="24"/>
              </w:rPr>
              <w:t>1</w:t>
            </w:r>
            <w:r w:rsidR="00E0462C">
              <w:rPr>
                <w:rFonts w:ascii="Times New Roman" w:hAnsi="Times New Roman"/>
                <w:sz w:val="24"/>
                <w:szCs w:val="24"/>
              </w:rPr>
              <w:t>5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7B1BA2">
              <w:rPr>
                <w:rFonts w:ascii="Times New Roman" w:hAnsi="Times New Roman"/>
                <w:sz w:val="24"/>
                <w:szCs w:val="24"/>
              </w:rPr>
              <w:t>Vývojový diagram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557119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625"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AA6A6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</w:t>
            </w:r>
            <w:r w:rsidR="009A741D">
              <w:rPr>
                <w:rFonts w:ascii="Times New Roman" w:hAnsi="Times New Roman"/>
                <w:sz w:val="24"/>
                <w:szCs w:val="24"/>
              </w:rPr>
              <w:t xml:space="preserve">práce s tvary. Obsahuje vývojový diagram, </w:t>
            </w:r>
            <w:r w:rsidR="00AA6A6A">
              <w:rPr>
                <w:rFonts w:ascii="Times New Roman" w:hAnsi="Times New Roman"/>
                <w:sz w:val="24"/>
                <w:szCs w:val="24"/>
              </w:rPr>
              <w:t>který je pomocí tvarů vytvořen a po vytvoření seskupen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7F47EB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Vývojový diagram</w:t>
      </w:r>
    </w:p>
    <w:p w:rsidR="00623527" w:rsidRDefault="007F47EB" w:rsidP="007F47EB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 xml:space="preserve">Nakreslete vývojový diagram pro výpočet aritmetického průměru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x</m:t>
            </m:r>
          </m:e>
        </m:acc>
      </m:oMath>
      <w:r>
        <w:rPr>
          <w:rFonts w:eastAsiaTheme="minorEastAsia" w:cs="Times New Roman"/>
        </w:rPr>
        <w:t xml:space="preserve"> a směrodatné odchylky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</w:rPr>
              <m:t>x</m:t>
            </m:r>
          </m:sub>
        </m:sSub>
      </m:oMath>
      <w:r>
        <w:rPr>
          <w:rFonts w:eastAsiaTheme="minorEastAsia" w:cs="Times New Roman"/>
        </w:rPr>
        <w:t xml:space="preserve"> daného souboru dat </w:t>
      </w:r>
      <w:r>
        <w:rPr>
          <w:rFonts w:cs="Times New Roman"/>
        </w:rPr>
        <w:t>dle předlohy.</w:t>
      </w:r>
    </w:p>
    <w:p w:rsidR="00F84154" w:rsidRDefault="00DC5C95" w:rsidP="007F47EB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>Text zarovnejte na střed ve vodorovném i svislém směru.</w:t>
      </w:r>
    </w:p>
    <w:p w:rsidR="00D07684" w:rsidRDefault="00D07684" w:rsidP="007F47EB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>Vložte textové pole na popis větví "ANO" a "NE".</w:t>
      </w:r>
    </w:p>
    <w:p w:rsidR="00760363" w:rsidRPr="00C36394" w:rsidRDefault="00760363" w:rsidP="007F47EB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>Jednotlivé objekty na konci seskupte.</w:t>
      </w:r>
    </w:p>
    <w:p w:rsidR="00EE0239" w:rsidRDefault="00462EFC" w:rsidP="00760363">
      <w:pPr>
        <w:rPr>
          <w:rFonts w:cs="Times New Roman"/>
          <w:b/>
          <w:sz w:val="28"/>
          <w:szCs w:val="28"/>
        </w:rPr>
      </w:pPr>
      <w:r w:rsidRPr="00462EFC">
        <w:rPr>
          <w:rFonts w:cs="Times New Roman"/>
          <w:noProof/>
          <w:lang w:eastAsia="cs-CZ"/>
        </w:rPr>
        <w:pict>
          <v:group id="_x0000_s1062" style="position:absolute;margin-left:126.7pt;margin-top:25.05pt;width:153.7pt;height:497.6pt;z-index:251708416" coordorigin="3954,4102" coordsize="3074,9952">
            <v:group id="_x0000_s1060" style="position:absolute;left:3954;top:4604;width:3074;height:8932" coordorigin="3954,4604" coordsize="3074,893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4" type="#_x0000_t202" style="position:absolute;left:5899;top:10755;width:743;height:365;mso-width-relative:margin;mso-height-relative:margin" o:regroupid="1" stroked="f">
                <v:textbox style="mso-next-textbox:#_x0000_s1054">
                  <w:txbxContent>
                    <w:p w:rsidR="00DD738E" w:rsidRDefault="00DD738E" w:rsidP="00DD738E">
                      <w:r>
                        <w:t>NE</w:t>
                      </w:r>
                    </w:p>
                  </w:txbxContent>
                </v:textbox>
              </v:shape>
              <v:shape id="_x0000_s1053" type="#_x0000_t202" style="position:absolute;left:4135;top:9906;width:743;height:365;mso-width-relative:margin;mso-height-relative:margin" o:regroupid="1" stroked="f">
                <v:textbox style="mso-next-textbox:#_x0000_s1053">
                  <w:txbxContent>
                    <w:p w:rsidR="00DD738E" w:rsidRDefault="00DD738E">
                      <w:r>
                        <w:t>ANO</w:t>
                      </w:r>
                    </w:p>
                  </w:txbxContent>
                </v:textbox>
              </v:shape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_x0000_s1029" type="#_x0000_t111" style="position:absolute;left:4873;top:5071;width:2154;height:397;v-text-anchor:middle" o:regroupid="1">
                <v:textbox style="mso-next-textbox:#_x0000_s1029">
                  <w:txbxContent>
                    <w:p w:rsidR="008B6CAC" w:rsidRDefault="008B6CAC" w:rsidP="008B6CAC">
                      <w:pPr>
                        <w:jc w:val="center"/>
                      </w:pPr>
                      <w:r>
                        <w:t>Vstup n</w:t>
                      </w:r>
                    </w:p>
                  </w:txbxContent>
                </v:textbox>
              </v:shape>
              <v:rect id="_x0000_s1030" style="position:absolute;left:4873;top:6010;width:2154;height:397;v-text-anchor:middle" o:regroupid="1">
                <v:textbox style="mso-next-textbox:#_x0000_s1030">
                  <w:txbxContent>
                    <w:p w:rsidR="008B6CAC" w:rsidRDefault="008B6CAC" w:rsidP="008B6CAC">
                      <w:pPr>
                        <w:jc w:val="center"/>
                      </w:pPr>
                      <w:r>
                        <w:t>i = 1, P = 0, D = 0</w:t>
                      </w:r>
                    </w:p>
                  </w:txbxContent>
                </v:textbox>
              </v:rect>
              <v:shape id="_x0000_s1031" type="#_x0000_t111" style="position:absolute;left:4873;top:7142;width:2154;height:397;v-text-anchor:middle" o:regroupid="1">
                <v:textbox style="mso-next-textbox:#_x0000_s1031">
                  <w:txbxContent>
                    <w:p w:rsidR="008B6CAC" w:rsidRDefault="008B6CAC" w:rsidP="008B6CAC">
                      <w:pPr>
                        <w:jc w:val="center"/>
                      </w:pPr>
                      <w:r>
                        <w:t xml:space="preserve">Vstup </w:t>
                      </w:r>
                      <w:proofErr w:type="spellStart"/>
                      <w:r>
                        <w:t>x</w:t>
                      </w:r>
                      <w:r w:rsidRPr="008B6CAC">
                        <w:rPr>
                          <w:vertAlign w:val="subscript"/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  <v:rect id="_x0000_s1032" style="position:absolute;left:4873;top:7968;width:2154;height:1327;v-text-anchor:middle" o:regroupid="1">
                <v:textbox style="mso-next-textbox:#_x0000_s1032">
                  <w:txbxContent>
                    <w:p w:rsidR="008B6CAC" w:rsidRDefault="008B6CAC" w:rsidP="008B6CAC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 xml:space="preserve">P = P + </w:t>
                      </w:r>
                      <w:proofErr w:type="spellStart"/>
                      <w:r>
                        <w:t>x</w:t>
                      </w:r>
                      <w:r w:rsidRPr="008B6CAC">
                        <w:rPr>
                          <w:vertAlign w:val="subscript"/>
                        </w:rPr>
                        <w:t>i</w:t>
                      </w:r>
                      <w:proofErr w:type="spellEnd"/>
                    </w:p>
                    <w:p w:rsidR="008B6CAC" w:rsidRDefault="008B6CAC" w:rsidP="008B6CAC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D = D + x</w:t>
                      </w:r>
                      <w:r w:rsidRPr="008B6CAC">
                        <w:rPr>
                          <w:vertAlign w:val="subscript"/>
                        </w:rPr>
                        <w:t>i</w:t>
                      </w:r>
                      <w:r w:rsidR="00DC5C95" w:rsidRPr="00DC5C95">
                        <w:rPr>
                          <w:vertAlign w:val="superscript"/>
                        </w:rPr>
                        <w:t>2</w:t>
                      </w:r>
                    </w:p>
                    <w:p w:rsidR="008B6CAC" w:rsidRPr="008B6CAC" w:rsidRDefault="008B6CAC" w:rsidP="008B6CAC">
                      <w:pPr>
                        <w:jc w:val="center"/>
                      </w:pPr>
                      <w:r>
                        <w:t>i = i + 1</w:t>
                      </w:r>
                    </w:p>
                  </w:txbxContent>
                </v:textbox>
              </v:re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1033" type="#_x0000_t110" style="position:absolute;left:4874;top:9859;width:2154;height:794;v-text-anchor:middle" o:regroupid="1">
                <v:textbox style="mso-next-textbox:#_x0000_s1033">
                  <w:txbxContent>
                    <w:p w:rsidR="008B6CAC" w:rsidRDefault="002B23EA" w:rsidP="002B23EA">
                      <w:pPr>
                        <w:jc w:val="center"/>
                      </w:pPr>
                      <w:r>
                        <w:t>i ≤ n</w:t>
                      </w:r>
                    </w:p>
                  </w:txbxContent>
                </v:textbox>
              </v:shape>
              <v:rect id="_x0000_s1034" style="position:absolute;left:4873;top:11296;width:2154;height:454;v-text-anchor:middle" o:regroupid="1">
                <v:textbox style="mso-next-textbox:#_x0000_s1034">
                  <w:txbxContent>
                    <w:p w:rsidR="002B23EA" w:rsidRDefault="002B23EA" w:rsidP="002B23EA">
                      <w:pPr>
                        <w:jc w:val="center"/>
                      </w:pPr>
                      <w:r>
                        <w:t xml:space="preserve">Výpočet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</m:acc>
                      </m:oMath>
                      <w:r>
                        <w:rPr>
                          <w:rFonts w:eastAsiaTheme="minorEastAsia"/>
                        </w:rPr>
                        <w:t xml:space="preserve">, </w:t>
                      </w:r>
                      <w:proofErr w:type="spellStart"/>
                      <w:r>
                        <w:rPr>
                          <w:rFonts w:eastAsiaTheme="minorEastAsia"/>
                        </w:rPr>
                        <w:t>s</w:t>
                      </w:r>
                      <w:r w:rsidRPr="002B23EA">
                        <w:rPr>
                          <w:rFonts w:eastAsiaTheme="minorEastAsia"/>
                          <w:vertAlign w:val="subscript"/>
                        </w:rPr>
                        <w:t>x</w:t>
                      </w:r>
                      <w:proofErr w:type="spellEnd"/>
                    </w:p>
                  </w:txbxContent>
                </v:textbox>
              </v:rect>
              <v:shape id="_x0000_s1035" type="#_x0000_t111" style="position:absolute;left:4873;top:12397;width:2154;height:397;v-text-anchor:middle" o:regroupid="1">
                <v:textbox style="mso-next-textbox:#_x0000_s1035">
                  <w:txbxContent>
                    <w:p w:rsidR="00DD738E" w:rsidRPr="00DD738E" w:rsidRDefault="00DD738E" w:rsidP="00DD738E">
                      <w:pPr>
                        <w:jc w:val="center"/>
                      </w:pPr>
                      <w:r>
                        <w:t xml:space="preserve">Tisk </w:t>
                      </w:r>
                      <m:oMath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</m:acc>
                      </m:oMath>
                      <w:r>
                        <w:rPr>
                          <w:rFonts w:eastAsiaTheme="minorEastAsia"/>
                        </w:rPr>
                        <w:t xml:space="preserve">, </w:t>
                      </w:r>
                      <w:proofErr w:type="spellStart"/>
                      <w:r>
                        <w:rPr>
                          <w:rFonts w:eastAsiaTheme="minorEastAsia"/>
                        </w:rPr>
                        <w:t>s</w:t>
                      </w:r>
                      <w:r w:rsidRPr="002B23EA">
                        <w:rPr>
                          <w:rFonts w:eastAsiaTheme="minorEastAsia"/>
                          <w:vertAlign w:val="subscript"/>
                        </w:rPr>
                        <w:t>x</w:t>
                      </w:r>
                      <w:proofErr w:type="spellEnd"/>
                      <w:r>
                        <w:rPr>
                          <w:rFonts w:eastAsiaTheme="minorEastAsia"/>
                        </w:rPr>
                        <w:t>, n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0" type="#_x0000_t32" style="position:absolute;left:5950;top:4604;width:0;height:467" o:connectortype="straight" o:regroupid="1"/>
              <v:shape id="_x0000_s1041" type="#_x0000_t32" style="position:absolute;left:5950;top:5468;width:0;height:542" o:connectortype="straight" o:regroupid="1"/>
              <v:shape id="_x0000_s1042" type="#_x0000_t32" style="position:absolute;left:5950;top:6407;width:0;height:735" o:connectortype="straight" o:regroupid="1"/>
              <v:shape id="_x0000_s1044" type="#_x0000_t32" style="position:absolute;left:5950;top:7539;width:0;height:429" o:connectortype="straight" o:regroupid="1"/>
              <v:shape id="_x0000_s1045" type="#_x0000_t32" style="position:absolute;left:5950;top:9295;width:0;height:564" o:connectortype="straight" o:regroupid="1"/>
              <v:shape id="_x0000_s1046" type="#_x0000_t32" style="position:absolute;left:5950;top:10653;width:0;height:643" o:connectortype="straight" o:regroupid="1"/>
              <v:shape id="_x0000_s1047" type="#_x0000_t32" style="position:absolute;left:5950;top:11750;width:0;height:647" o:connectortype="straight" o:regroupid="1"/>
              <v:shape id="_x0000_s1048" type="#_x0000_t32" style="position:absolute;left:5950;top:12794;width:0;height:742" o:connectortype="straight" o:regroupid="1"/>
              <v:shape id="_x0000_s1050" type="#_x0000_t32" style="position:absolute;left:3954;top:7761;width:1;height:2497;flip:y" o:connectortype="straight" o:regroupid="1"/>
              <v:shape id="_x0000_s1051" type="#_x0000_t32" style="position:absolute;left:3954;top:7761;width:1992;height:0;flip:x" o:connectortype="straight" o:regroupid="1"/>
              <v:shape id="_x0000_s1052" type="#_x0000_t32" style="position:absolute;left:3954;top:10258;width:924;height:0;flip:x" o:connectortype="straight" o:regroupid="1"/>
            </v:group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58" type="#_x0000_t116" style="position:absolute;left:5046;top:4102;width:1814;height:510;mso-position-horizontal:center;mso-position-horizontal-relative:margin;v-text-anchor:middle">
              <v:textbox style="mso-next-textbox:#_x0000_s1058">
                <w:txbxContent>
                  <w:p w:rsidR="00F84154" w:rsidRDefault="00F84154" w:rsidP="00F84154">
                    <w:pPr>
                      <w:spacing w:after="0" w:line="240" w:lineRule="auto"/>
                      <w:jc w:val="center"/>
                    </w:pPr>
                    <w:r>
                      <w:t>Začátek</w:t>
                    </w:r>
                  </w:p>
                </w:txbxContent>
              </v:textbox>
            </v:shape>
            <v:shape id="_x0000_s1059" type="#_x0000_t116" style="position:absolute;left:5046;top:13544;width:1814;height:510;mso-position-horizontal:center;mso-position-horizontal-relative:margin;v-text-anchor:middle">
              <v:textbox style="mso-next-textbox:#_x0000_s1059">
                <w:txbxContent>
                  <w:p w:rsidR="00F84154" w:rsidRDefault="00F84154" w:rsidP="00F84154">
                    <w:pPr>
                      <w:spacing w:after="0" w:line="240" w:lineRule="auto"/>
                      <w:jc w:val="center"/>
                    </w:pPr>
                    <w:r>
                      <w:t>Konec</w:t>
                    </w:r>
                  </w:p>
                </w:txbxContent>
              </v:textbox>
            </v:shape>
          </v:group>
        </w:pict>
      </w:r>
      <w:r w:rsidR="00784A50">
        <w:rPr>
          <w:rFonts w:cs="Times New Roman"/>
        </w:rPr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D35687" w:rsidRDefault="00760363" w:rsidP="00D35687">
      <w:pPr>
        <w:jc w:val="both"/>
        <w:rPr>
          <w:rFonts w:cs="Times New Roman"/>
        </w:rPr>
      </w:pPr>
      <w:r w:rsidRPr="00760363">
        <w:rPr>
          <w:rFonts w:cs="Arial"/>
          <w:color w:val="000000"/>
          <w:shd w:val="clear" w:color="auto" w:fill="FFFFFF"/>
        </w:rPr>
        <w:t>JIRÁSEK, František.</w:t>
      </w:r>
      <w:r w:rsidRPr="00760363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760363">
        <w:rPr>
          <w:rFonts w:cs="Arial"/>
          <w:i/>
          <w:iCs/>
          <w:color w:val="000000"/>
          <w:shd w:val="clear" w:color="auto" w:fill="FFFFFF"/>
        </w:rPr>
        <w:t>Sbírka úloh z matematiky: pro SOŠ a studijní obory SOU</w:t>
      </w:r>
      <w:r w:rsidRPr="00760363">
        <w:rPr>
          <w:rFonts w:cs="Arial"/>
          <w:color w:val="000000"/>
          <w:shd w:val="clear" w:color="auto" w:fill="FFFFFF"/>
        </w:rPr>
        <w:t xml:space="preserve">. 1. </w:t>
      </w:r>
      <w:proofErr w:type="spellStart"/>
      <w:r w:rsidRPr="00760363">
        <w:rPr>
          <w:rFonts w:cs="Arial"/>
          <w:color w:val="000000"/>
          <w:shd w:val="clear" w:color="auto" w:fill="FFFFFF"/>
        </w:rPr>
        <w:t>vyd</w:t>
      </w:r>
      <w:proofErr w:type="spellEnd"/>
      <w:r w:rsidRPr="00760363">
        <w:rPr>
          <w:rFonts w:cs="Arial"/>
          <w:color w:val="000000"/>
          <w:shd w:val="clear" w:color="auto" w:fill="FFFFFF"/>
        </w:rPr>
        <w:t>. Praha: Státní pedagogické nakladatelství, 1989, 479 s. Učebnice pro střední školy. ISBN 80-042-1341-3</w:t>
      </w:r>
    </w:p>
    <w:sectPr w:rsidR="00BA0952" w:rsidRPr="00D35687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A0952"/>
    <w:rsid w:val="000E6A40"/>
    <w:rsid w:val="0012278F"/>
    <w:rsid w:val="001539FB"/>
    <w:rsid w:val="001D0769"/>
    <w:rsid w:val="00207F43"/>
    <w:rsid w:val="002A084D"/>
    <w:rsid w:val="002B23EA"/>
    <w:rsid w:val="002D3625"/>
    <w:rsid w:val="002D588F"/>
    <w:rsid w:val="00325F47"/>
    <w:rsid w:val="003766C0"/>
    <w:rsid w:val="003C6BC7"/>
    <w:rsid w:val="0040420F"/>
    <w:rsid w:val="00462EFC"/>
    <w:rsid w:val="00495CB3"/>
    <w:rsid w:val="00512B21"/>
    <w:rsid w:val="00513015"/>
    <w:rsid w:val="00557119"/>
    <w:rsid w:val="00623527"/>
    <w:rsid w:val="006A484B"/>
    <w:rsid w:val="006B5487"/>
    <w:rsid w:val="00711853"/>
    <w:rsid w:val="0072569F"/>
    <w:rsid w:val="007543CF"/>
    <w:rsid w:val="00760363"/>
    <w:rsid w:val="00784A50"/>
    <w:rsid w:val="007B1BA2"/>
    <w:rsid w:val="007F47EB"/>
    <w:rsid w:val="008110D2"/>
    <w:rsid w:val="008369E5"/>
    <w:rsid w:val="00843E33"/>
    <w:rsid w:val="008B6CAC"/>
    <w:rsid w:val="00926883"/>
    <w:rsid w:val="009A741D"/>
    <w:rsid w:val="009C75E0"/>
    <w:rsid w:val="009D46DB"/>
    <w:rsid w:val="00A116A0"/>
    <w:rsid w:val="00A839FB"/>
    <w:rsid w:val="00AA6A6A"/>
    <w:rsid w:val="00AD0909"/>
    <w:rsid w:val="00AE1C64"/>
    <w:rsid w:val="00B66E8E"/>
    <w:rsid w:val="00BA0952"/>
    <w:rsid w:val="00C031A1"/>
    <w:rsid w:val="00C36394"/>
    <w:rsid w:val="00CE165F"/>
    <w:rsid w:val="00D07684"/>
    <w:rsid w:val="00D35687"/>
    <w:rsid w:val="00DA7B31"/>
    <w:rsid w:val="00DC5C95"/>
    <w:rsid w:val="00DD738E"/>
    <w:rsid w:val="00E0462C"/>
    <w:rsid w:val="00EE0239"/>
    <w:rsid w:val="00F84154"/>
    <w:rsid w:val="00FB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  <o:rules v:ext="edit">
        <o:r id="V:Rule12" type="connector" idref="#_x0000_s1047"/>
        <o:r id="V:Rule13" type="connector" idref="#_x0000_s1051"/>
        <o:r id="V:Rule14" type="connector" idref="#_x0000_s1044"/>
        <o:r id="V:Rule15" type="connector" idref="#_x0000_s1048"/>
        <o:r id="V:Rule16" type="connector" idref="#_x0000_s1040"/>
        <o:r id="V:Rule17" type="connector" idref="#_x0000_s1046"/>
        <o:r id="V:Rule18" type="connector" idref="#_x0000_s1052"/>
        <o:r id="V:Rule19" type="connector" idref="#_x0000_s1042"/>
        <o:r id="V:Rule20" type="connector" idref="#_x0000_s1050"/>
        <o:r id="V:Rule21" type="connector" idref="#_x0000_s1045"/>
        <o:r id="V:Rule2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7F47EB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4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47E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7603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FB7F6-3FD9-4B07-BD8D-D4DB41E5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12</cp:revision>
  <dcterms:created xsi:type="dcterms:W3CDTF">2013-11-21T15:46:00Z</dcterms:created>
  <dcterms:modified xsi:type="dcterms:W3CDTF">2013-11-25T16:15:00Z</dcterms:modified>
</cp:coreProperties>
</file>